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016776E2" w14:textId="49495043" w:rsidR="00E44F47" w:rsidRDefault="00E44F47" w:rsidP="002D458F">
      <w:pPr>
        <w:pStyle w:val="16NzevVZ"/>
      </w:pPr>
      <w:r w:rsidRPr="00E44F47">
        <w:t>Část „C“ – papír do tiskárny</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proofErr w:type="spellStart"/>
            <w:r>
              <w:t>Pr</w:t>
            </w:r>
            <w:proofErr w:type="spellEnd"/>
            <w:r>
              <w:t xml:space="preserve">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3D779CCA" w:rsidR="000E72CF" w:rsidRDefault="000E72CF" w:rsidP="00113496">
      <w:pPr>
        <w:pStyle w:val="07Psmeno"/>
      </w:pPr>
      <w:r>
        <w:t>„</w:t>
      </w:r>
      <w:r>
        <w:rPr>
          <w:b/>
          <w:bCs/>
        </w:rPr>
        <w:t>Předmět koupě</w:t>
      </w:r>
      <w:r>
        <w:t>“ označuje</w:t>
      </w:r>
      <w:r w:rsidR="000B4E91">
        <w:t xml:space="preserve"> </w:t>
      </w:r>
      <w:r w:rsidR="00BE4F2A">
        <w:t>papír do tiskárny</w:t>
      </w:r>
      <w:r w:rsidR="006232A6" w:rsidRPr="006232A6">
        <w:t xml:space="preserve"> 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54CC4444"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w:t>
      </w:r>
      <w:r w:rsidR="00BE4F2A">
        <w:t>C</w:t>
      </w:r>
      <w:r w:rsidR="006232A6" w:rsidRPr="006232A6">
        <w:t xml:space="preserve"> – </w:t>
      </w:r>
      <w:r w:rsidR="00BE4F2A">
        <w:t>Papír do tiskárny</w:t>
      </w:r>
      <w:r w:rsidR="006232A6" w:rsidRPr="006232A6">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1599C6F9" w:rsidR="007341EC" w:rsidRDefault="007341EC" w:rsidP="007341EC">
      <w:pPr>
        <w:pStyle w:val="05Odstavecslovan"/>
      </w:pPr>
      <w:r>
        <w:t xml:space="preserve">Tato Rámcová smlouva se uzavírá na dobu určitou, a to dobu </w:t>
      </w:r>
      <w:r w:rsidR="00B71985" w:rsidRPr="00B71985">
        <w:t>48</w:t>
      </w:r>
      <w:r>
        <w:t xml:space="preserve"> měsíců od nabytí její účinnosti.</w:t>
      </w:r>
    </w:p>
    <w:p w14:paraId="22C2E1E0" w14:textId="55AB78A9"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B71985">
        <w:t>výši</w:t>
      </w:r>
      <w:r w:rsidR="00477932" w:rsidRPr="00B71985">
        <w:t xml:space="preserve"> </w:t>
      </w:r>
      <w:r w:rsidR="00B71985" w:rsidRPr="00B71985">
        <w:t>700 000</w:t>
      </w:r>
      <w:r w:rsidR="00477932" w:rsidRPr="00B71985">
        <w:t xml:space="preserve"> Kč bez</w:t>
      </w:r>
      <w:r w:rsidR="00477932">
        <w:t xml:space="preserve"> DPH.</w:t>
      </w:r>
    </w:p>
    <w:p w14:paraId="6A0F7CD9" w14:textId="4B20B176" w:rsidR="00525BC0" w:rsidRDefault="00525BC0" w:rsidP="001F0B31">
      <w:pPr>
        <w:pStyle w:val="02lnek"/>
      </w:pPr>
      <w:r>
        <w:t>Doba a místo plnění</w:t>
      </w:r>
      <w:r w:rsidR="00D836DE">
        <w:t xml:space="preserve"> Dílčích kupní smluv</w:t>
      </w:r>
    </w:p>
    <w:p w14:paraId="7D2C4B4C" w14:textId="54C8DC1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E74346" w:rsidRPr="00E74346">
        <w:t>10</w:t>
      </w:r>
      <w:r w:rsidR="007E4A89" w:rsidRPr="00E74346">
        <w:t xml:space="preserve"> </w:t>
      </w:r>
      <w:r w:rsidR="006B760D" w:rsidRPr="00E74346">
        <w:t>kalendářních</w:t>
      </w:r>
      <w:r w:rsidR="006B760D">
        <w:t xml:space="preserve">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6C7E0F65" w:rsidR="008E1FC9" w:rsidRDefault="00DF4450" w:rsidP="008E1FC9">
      <w:pPr>
        <w:pStyle w:val="07Psmeno"/>
      </w:pPr>
      <w:r>
        <w:t>rozpis jednotlivých položek Předmětu koupě</w:t>
      </w:r>
      <w:r w:rsidR="00E37790">
        <w:t xml:space="preserve"> dodaných v rámci Dílčí kupní smlouvy</w:t>
      </w:r>
      <w:r w:rsidR="00B71985">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4371EFF4" w:rsidR="002265DD" w:rsidRDefault="00F10316" w:rsidP="008C221A">
      <w:pPr>
        <w:pStyle w:val="05Odstavecslovan"/>
        <w:tabs>
          <w:tab w:val="clear" w:pos="426"/>
          <w:tab w:val="num" w:pos="425"/>
        </w:tabs>
      </w:pPr>
      <w:bookmarkStart w:id="7" w:name="_Ref157535618"/>
      <w:r>
        <w:t xml:space="preserve">Prodávající poskytuje </w:t>
      </w:r>
      <w:r w:rsidR="000A7E00">
        <w:t>na Předmět koupě Záruku v délce 24 měsíců</w:t>
      </w:r>
      <w:r w:rsidR="00CA065F">
        <w:t xml:space="preserve"> (minimální délka exspirace)</w:t>
      </w:r>
      <w:r w:rsidR="000A7E00">
        <w:t>.</w:t>
      </w:r>
      <w:bookmarkEnd w:id="7"/>
      <w:r w:rsidR="00037CCB">
        <w:t xml:space="preserve"> </w:t>
      </w:r>
      <w:r w:rsidR="00D46395">
        <w:t>Záruční doba se prodlužuje o dobu, po kterou nelze Předmět koupě užívat</w:t>
      </w:r>
      <w:r w:rsidR="00CC7211">
        <w:t xml:space="preserve"> pro vady, za něž </w:t>
      </w:r>
      <w:r w:rsidR="00CC7211">
        <w:lastRenderedPageBreak/>
        <w:t xml:space="preserve">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5D61A303" w14:textId="77777777" w:rsidR="00AE0C79" w:rsidRDefault="00AE0C79" w:rsidP="00AE0C79">
      <w:pPr>
        <w:pStyle w:val="05Odstavecslovan"/>
      </w:pPr>
      <w:r>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05B79FCE" w14:textId="77777777" w:rsidR="00AE0C79" w:rsidRDefault="00AE0C79" w:rsidP="00AE0C79">
      <w:pPr>
        <w:pStyle w:val="05Odstavecslovan"/>
        <w:numPr>
          <w:ilvl w:val="0"/>
          <w:numId w:val="0"/>
        </w:numPr>
        <w:tabs>
          <w:tab w:val="left" w:pos="708"/>
        </w:tabs>
        <w:ind w:left="426"/>
      </w:pPr>
      <w:r>
        <w:t>a) prvek předpokládaný v položkovém rozpočtu a Specifikaci předmětu plnění se již nevyrábí nebo je technicky zastaralý;</w:t>
      </w:r>
    </w:p>
    <w:p w14:paraId="707A6305" w14:textId="77777777" w:rsidR="00AE0C79" w:rsidRDefault="00AE0C79" w:rsidP="00AE0C79">
      <w:pPr>
        <w:pStyle w:val="05Odstavecslovan"/>
        <w:numPr>
          <w:ilvl w:val="0"/>
          <w:numId w:val="0"/>
        </w:numPr>
        <w:tabs>
          <w:tab w:val="left" w:pos="708"/>
        </w:tabs>
        <w:ind w:left="426"/>
      </w:pPr>
      <w: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2235B812" w14:textId="77777777" w:rsidR="00AE0C79" w:rsidRDefault="00AE0C79" w:rsidP="00AE0C79">
      <w:pPr>
        <w:pStyle w:val="05Odstavecslovan"/>
        <w:numPr>
          <w:ilvl w:val="0"/>
          <w:numId w:val="0"/>
        </w:numPr>
        <w:tabs>
          <w:tab w:val="left" w:pos="708"/>
        </w:tabs>
        <w:ind w:left="426"/>
      </w:pPr>
      <w:r>
        <w:lastRenderedPageBreak/>
        <w:t>c) změna prvku nemění celkovou povahu veřejné zakázky;</w:t>
      </w:r>
    </w:p>
    <w:p w14:paraId="01E34AC2" w14:textId="77777777" w:rsidR="00AE0C79" w:rsidRDefault="00AE0C79" w:rsidP="00AE0C79">
      <w:pPr>
        <w:pStyle w:val="05Odstavecslovan"/>
        <w:numPr>
          <w:ilvl w:val="0"/>
          <w:numId w:val="0"/>
        </w:numPr>
        <w:tabs>
          <w:tab w:val="left" w:pos="708"/>
        </w:tabs>
        <w:ind w:left="426"/>
      </w:pPr>
      <w:r>
        <w:t>d) cena technicky vyššího prvku bude shodná s cenou prvku, který předpokládal položkový rozpočet a Specifikace předmětu plnění, a která je uvedena v položkovém rozpočtu a Specifikaci předmětu plnění,</w:t>
      </w:r>
    </w:p>
    <w:p w14:paraId="07B79B25" w14:textId="77777777" w:rsidR="00AE0C79" w:rsidRDefault="00AE0C79" w:rsidP="00AE0C79">
      <w:pPr>
        <w:pStyle w:val="05Odstavecslovan"/>
        <w:numPr>
          <w:ilvl w:val="0"/>
          <w:numId w:val="0"/>
        </w:numPr>
        <w:tabs>
          <w:tab w:val="left" w:pos="708"/>
        </w:tabs>
        <w:ind w:left="426"/>
      </w:pPr>
      <w:r>
        <w:t xml:space="preserve">e) technicky vyšší prvek musí mít minimálně shodné nebo prokazatelně lepší technické parametry než prvek předpokládaný v položkovém rozpočtu a Specifikaci předmětu plnění </w:t>
      </w:r>
    </w:p>
    <w:p w14:paraId="29C7836E" w14:textId="77777777" w:rsidR="00AE0C79" w:rsidRDefault="00AE0C79" w:rsidP="00AE0C79">
      <w:pPr>
        <w:pStyle w:val="05Odstavecslovan"/>
        <w:numPr>
          <w:ilvl w:val="0"/>
          <w:numId w:val="0"/>
        </w:numPr>
        <w:tabs>
          <w:tab w:val="left" w:pos="708"/>
        </w:tabs>
        <w:ind w:left="426"/>
      </w:pPr>
      <w:r>
        <w:t>f) změna prvku musí být vždy projednána s Kupujícím a Kupujícím musí být schválena; Prodávající nemůže vymáhat na Kupujícím účelově změnu prvku, pokud s jeho výměnou Kupující nevysloví souhlas.</w:t>
      </w:r>
    </w:p>
    <w:p w14:paraId="32BF5608" w14:textId="77777777" w:rsidR="00AE0C79" w:rsidRDefault="00AE0C79" w:rsidP="00AE0C79">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 xml:space="preserve">Mgr. Vít Dvořák, </w:t>
      </w:r>
      <w:proofErr w:type="spellStart"/>
      <w:r w:rsidRPr="006232A6">
        <w:t>DiS</w:t>
      </w:r>
      <w:proofErr w:type="spellEnd"/>
      <w:r w:rsidRPr="006232A6">
        <w:t>.</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209BE393"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B0116F" w:rsidRPr="00B0116F">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385C0" w14:textId="77777777" w:rsidR="00AB18BE" w:rsidRDefault="00AB18BE" w:rsidP="00F237E9">
      <w:pPr>
        <w:spacing w:after="0" w:line="240" w:lineRule="auto"/>
      </w:pPr>
      <w:r>
        <w:separator/>
      </w:r>
    </w:p>
  </w:endnote>
  <w:endnote w:type="continuationSeparator" w:id="0">
    <w:p w14:paraId="0AA0CA16" w14:textId="77777777" w:rsidR="00AB18BE" w:rsidRDefault="00AB18BE"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88506" w14:textId="77777777" w:rsidR="00AB18BE" w:rsidRDefault="00AB18BE" w:rsidP="00F237E9">
      <w:pPr>
        <w:spacing w:after="0" w:line="240" w:lineRule="auto"/>
      </w:pPr>
      <w:r>
        <w:separator/>
      </w:r>
    </w:p>
  </w:footnote>
  <w:footnote w:type="continuationSeparator" w:id="0">
    <w:p w14:paraId="31220D58" w14:textId="77777777" w:rsidR="00AB18BE" w:rsidRDefault="00AB18BE"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883561312">
    <w:abstractNumId w:val="0"/>
  </w:num>
  <w:num w:numId="2" w16cid:durableId="942611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1174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52828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9970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65826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70943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38749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4674"/>
    <w:rsid w:val="00105404"/>
    <w:rsid w:val="00110334"/>
    <w:rsid w:val="00112DF0"/>
    <w:rsid w:val="001131C2"/>
    <w:rsid w:val="00113496"/>
    <w:rsid w:val="001144DC"/>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CFE"/>
    <w:rsid w:val="00315517"/>
    <w:rsid w:val="00316530"/>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6D4633"/>
    <w:rsid w:val="007014B3"/>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4A87"/>
    <w:rsid w:val="0089559F"/>
    <w:rsid w:val="0089596B"/>
    <w:rsid w:val="008967C2"/>
    <w:rsid w:val="008967C5"/>
    <w:rsid w:val="008979CE"/>
    <w:rsid w:val="008A26DB"/>
    <w:rsid w:val="008A37BD"/>
    <w:rsid w:val="008A5B2B"/>
    <w:rsid w:val="008A6803"/>
    <w:rsid w:val="008B642B"/>
    <w:rsid w:val="008C221A"/>
    <w:rsid w:val="008C39AB"/>
    <w:rsid w:val="008D035E"/>
    <w:rsid w:val="008D0F67"/>
    <w:rsid w:val="008D5473"/>
    <w:rsid w:val="008D68D2"/>
    <w:rsid w:val="008E160D"/>
    <w:rsid w:val="008E1FC9"/>
    <w:rsid w:val="008F1653"/>
    <w:rsid w:val="008F2D44"/>
    <w:rsid w:val="008F2F5B"/>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18BE"/>
    <w:rsid w:val="00AB2BEF"/>
    <w:rsid w:val="00AB3428"/>
    <w:rsid w:val="00AC0219"/>
    <w:rsid w:val="00AC0E38"/>
    <w:rsid w:val="00AC24A3"/>
    <w:rsid w:val="00AC3B9B"/>
    <w:rsid w:val="00AC551D"/>
    <w:rsid w:val="00AD63F4"/>
    <w:rsid w:val="00AD6834"/>
    <w:rsid w:val="00AE06F1"/>
    <w:rsid w:val="00AE0C79"/>
    <w:rsid w:val="00AE25BC"/>
    <w:rsid w:val="00AE27B6"/>
    <w:rsid w:val="00AE4550"/>
    <w:rsid w:val="00AE6E6A"/>
    <w:rsid w:val="00AF0942"/>
    <w:rsid w:val="00AF0EB5"/>
    <w:rsid w:val="00AF4474"/>
    <w:rsid w:val="00B00929"/>
    <w:rsid w:val="00B0116F"/>
    <w:rsid w:val="00B02140"/>
    <w:rsid w:val="00B036EC"/>
    <w:rsid w:val="00B04CFE"/>
    <w:rsid w:val="00B075D4"/>
    <w:rsid w:val="00B11B36"/>
    <w:rsid w:val="00B2033B"/>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71985"/>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4F2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3B73"/>
    <w:rsid w:val="00CA7826"/>
    <w:rsid w:val="00CB1190"/>
    <w:rsid w:val="00CB2C27"/>
    <w:rsid w:val="00CB7E60"/>
    <w:rsid w:val="00CB7F08"/>
    <w:rsid w:val="00CC06C8"/>
    <w:rsid w:val="00CC0705"/>
    <w:rsid w:val="00CC12AB"/>
    <w:rsid w:val="00CC7211"/>
    <w:rsid w:val="00CC7247"/>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6DEA"/>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44F47"/>
    <w:rsid w:val="00E528E5"/>
    <w:rsid w:val="00E52E96"/>
    <w:rsid w:val="00E543B8"/>
    <w:rsid w:val="00E56B1C"/>
    <w:rsid w:val="00E5799A"/>
    <w:rsid w:val="00E60C14"/>
    <w:rsid w:val="00E63A64"/>
    <w:rsid w:val="00E63BF4"/>
    <w:rsid w:val="00E677AB"/>
    <w:rsid w:val="00E73034"/>
    <w:rsid w:val="00E73E99"/>
    <w:rsid w:val="00E74346"/>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 w:id="18432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BE85C-7C55-421D-9194-42B80809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10</Pages>
  <Words>4497</Words>
  <Characters>26538</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491</cp:revision>
  <dcterms:created xsi:type="dcterms:W3CDTF">2024-01-29T17:45:00Z</dcterms:created>
  <dcterms:modified xsi:type="dcterms:W3CDTF">2025-10-14T21:24:00Z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